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1EBF2" w14:textId="77777777" w:rsidR="005B2C27" w:rsidRDefault="005B2C27" w:rsidP="005B2C27">
      <w:pPr>
        <w:ind w:left="-1080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Style w:val="TableGrid"/>
        <w:tblW w:w="11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86"/>
        <w:gridCol w:w="6564"/>
      </w:tblGrid>
      <w:tr w:rsidR="0065447A" w14:paraId="5392EB42" w14:textId="77777777" w:rsidTr="00406B4F">
        <w:trPr>
          <w:trHeight w:val="449"/>
        </w:trPr>
        <w:tc>
          <w:tcPr>
            <w:tcW w:w="4686" w:type="dxa"/>
            <w:vMerge w:val="restart"/>
          </w:tcPr>
          <w:p w14:paraId="15656215" w14:textId="77777777" w:rsidR="0065447A" w:rsidRPr="00BE0CD9" w:rsidRDefault="00DD067D" w:rsidP="006544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CBDEBC" wp14:editId="342CD559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101600</wp:posOffset>
                  </wp:positionV>
                  <wp:extent cx="2024380" cy="533400"/>
                  <wp:effectExtent l="0" t="0" r="0" b="0"/>
                  <wp:wrapTopAndBottom/>
                  <wp:docPr id="1110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D9BEB0-238E-4D78-9ECF-A11A03CB08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Picture 8">
                            <a:extLst>
                              <a:ext uri="{FF2B5EF4-FFF2-40B4-BE49-F238E27FC236}">
                                <a16:creationId xmlns:a16="http://schemas.microsoft.com/office/drawing/2014/main" id="{A0D9BEB0-238E-4D78-9ECF-A11A03CB08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13986" b="38683"/>
                          <a:stretch/>
                        </pic:blipFill>
                        <pic:spPr bwMode="auto">
                          <a:xfrm>
                            <a:off x="0" y="0"/>
                            <a:ext cx="20243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4" w:type="dxa"/>
            <w:shd w:val="clear" w:color="auto" w:fill="000066"/>
            <w:vAlign w:val="center"/>
          </w:tcPr>
          <w:p w14:paraId="6D7077D3" w14:textId="77777777" w:rsidR="0065447A" w:rsidRPr="00BE0CD9" w:rsidRDefault="0065447A" w:rsidP="00406B4F">
            <w:pPr>
              <w:jc w:val="center"/>
              <w:rPr>
                <w:rFonts w:ascii="Arial" w:eastAsia="PMingLiU" w:hAnsi="Arial" w:cs="Arial"/>
                <w:b/>
                <w:sz w:val="28"/>
                <w:szCs w:val="28"/>
              </w:rPr>
            </w:pPr>
            <w:r w:rsidRPr="00BE0CD9">
              <w:rPr>
                <w:rFonts w:ascii="Arial" w:eastAsia="PMingLiU" w:hAnsi="Arial" w:cs="Arial"/>
                <w:b/>
                <w:sz w:val="28"/>
                <w:szCs w:val="28"/>
              </w:rPr>
              <w:t xml:space="preserve">MAINTENANCE </w:t>
            </w:r>
            <w:r w:rsidR="007A58B6" w:rsidRPr="00BE0CD9">
              <w:rPr>
                <w:rFonts w:ascii="Arial" w:eastAsia="PMingLiU" w:hAnsi="Arial" w:cs="Arial"/>
                <w:b/>
                <w:sz w:val="28"/>
                <w:szCs w:val="28"/>
              </w:rPr>
              <w:t>AGREEMENT</w:t>
            </w:r>
          </w:p>
          <w:p w14:paraId="0EB1BC56" w14:textId="596CF5EF" w:rsidR="0065447A" w:rsidRPr="00BE0CD9" w:rsidRDefault="00D3481F" w:rsidP="00406B4F">
            <w:pPr>
              <w:spacing w:before="75" w:after="86" w:line="261" w:lineRule="exact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Attachment 3</w:t>
            </w:r>
          </w:p>
        </w:tc>
      </w:tr>
      <w:tr w:rsidR="0065447A" w14:paraId="2ECF2050" w14:textId="77777777" w:rsidTr="00BE0CD9">
        <w:trPr>
          <w:trHeight w:val="517"/>
        </w:trPr>
        <w:tc>
          <w:tcPr>
            <w:tcW w:w="4686" w:type="dxa"/>
            <w:vMerge/>
          </w:tcPr>
          <w:p w14:paraId="46582FC6" w14:textId="77777777" w:rsidR="0065447A" w:rsidRPr="00BE0CD9" w:rsidRDefault="0065447A" w:rsidP="006544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64" w:type="dxa"/>
          </w:tcPr>
          <w:p w14:paraId="402D8EE1" w14:textId="2692DE45" w:rsidR="0065447A" w:rsidRPr="00BE0CD9" w:rsidRDefault="0065447A" w:rsidP="00253A96">
            <w:pPr>
              <w:spacing w:before="100" w:beforeAutospacing="1" w:after="100" w:afterAutospacing="1"/>
              <w:textAlignment w:val="baseline"/>
              <w:rPr>
                <w:rFonts w:ascii="Arial" w:eastAsia="Arial" w:hAnsi="Arial"/>
                <w:b/>
                <w:color w:val="000000"/>
                <w:spacing w:val="-10"/>
                <w:sz w:val="28"/>
                <w:szCs w:val="28"/>
              </w:rPr>
            </w:pPr>
          </w:p>
        </w:tc>
      </w:tr>
    </w:tbl>
    <w:p w14:paraId="49EE8FBC" w14:textId="77777777" w:rsidR="0065447A" w:rsidRPr="005B2C27" w:rsidRDefault="0065447A" w:rsidP="005B2C27">
      <w:pPr>
        <w:ind w:left="-1080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600CEF18" w14:textId="60C551A9" w:rsidR="0065447A" w:rsidRPr="00005652" w:rsidRDefault="00C744A9" w:rsidP="00941E5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05652">
        <w:rPr>
          <w:rFonts w:ascii="Arial" w:eastAsia="Arial" w:hAnsi="Arial" w:cs="Arial"/>
          <w:color w:val="000000"/>
          <w:sz w:val="20"/>
          <w:szCs w:val="20"/>
        </w:rPr>
        <w:t>These maintenance terms are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 pursuant to</w:t>
      </w:r>
      <w:r w:rsidR="00365863" w:rsidRPr="00005652"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4759B" w:rsidRPr="00005652">
        <w:rPr>
          <w:rFonts w:ascii="Arial" w:eastAsia="Arial" w:hAnsi="Arial" w:cs="Arial"/>
          <w:color w:val="000000"/>
          <w:sz w:val="20"/>
          <w:szCs w:val="20"/>
        </w:rPr>
        <w:t>Participating Addendum under NASPO</w:t>
      </w:r>
      <w:r w:rsidR="00365863" w:rsidRPr="000056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01000" w:rsidRPr="00005652">
        <w:rPr>
          <w:rFonts w:ascii="Arial" w:eastAsia="Arial" w:hAnsi="Arial" w:cs="Arial"/>
          <w:color w:val="000000"/>
          <w:sz w:val="20"/>
          <w:szCs w:val="20"/>
        </w:rPr>
        <w:t>ValuePoint Master</w:t>
      </w:r>
      <w:r w:rsidR="0064759B" w:rsidRPr="00005652">
        <w:rPr>
          <w:rFonts w:ascii="Arial" w:eastAsia="Arial" w:hAnsi="Arial" w:cs="Arial"/>
          <w:color w:val="000000"/>
          <w:sz w:val="20"/>
          <w:szCs w:val="20"/>
        </w:rPr>
        <w:t xml:space="preserve"> Agreement  </w:t>
      </w:r>
      <w:r w:rsidR="00DD067D" w:rsidRPr="00005652">
        <w:rPr>
          <w:rFonts w:ascii="Arial" w:eastAsia="Arial" w:hAnsi="Arial" w:cs="Arial"/>
          <w:color w:val="000000"/>
          <w:sz w:val="20"/>
          <w:szCs w:val="20"/>
        </w:rPr>
        <w:t>#</w:t>
      </w:r>
      <w:r w:rsidR="00B37301">
        <w:rPr>
          <w:rFonts w:ascii="Arial" w:eastAsia="Arial" w:hAnsi="Arial" w:cs="Arial"/>
          <w:color w:val="000000"/>
          <w:sz w:val="20"/>
          <w:szCs w:val="20"/>
        </w:rPr>
        <w:t xml:space="preserve"> 188037</w:t>
      </w:r>
      <w:r w:rsidR="001E674B" w:rsidRPr="00005652">
        <w:rPr>
          <w:rFonts w:ascii="Arial" w:eastAsia="Arial" w:hAnsi="Arial" w:cs="Arial"/>
          <w:color w:val="000000"/>
          <w:sz w:val="20"/>
          <w:szCs w:val="20"/>
        </w:rPr>
        <w:t xml:space="preserve"> (the “</w:t>
      </w:r>
      <w:r w:rsidR="00D3481F" w:rsidRPr="00005652">
        <w:rPr>
          <w:rFonts w:ascii="Arial" w:eastAsia="Arial" w:hAnsi="Arial" w:cs="Arial"/>
          <w:color w:val="000000"/>
          <w:sz w:val="20"/>
          <w:szCs w:val="20"/>
        </w:rPr>
        <w:t>Master Agreement</w:t>
      </w:r>
      <w:r w:rsidR="001E674B" w:rsidRPr="00005652">
        <w:rPr>
          <w:rFonts w:ascii="Arial" w:eastAsia="Arial" w:hAnsi="Arial" w:cs="Arial"/>
          <w:color w:val="000000"/>
          <w:sz w:val="20"/>
          <w:szCs w:val="20"/>
        </w:rPr>
        <w:t>”)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.  By </w:t>
      </w:r>
      <w:r w:rsidR="001E674B" w:rsidRPr="00005652">
        <w:rPr>
          <w:rFonts w:ascii="Arial" w:eastAsia="Arial" w:hAnsi="Arial" w:cs="Arial"/>
          <w:color w:val="000000"/>
          <w:sz w:val="20"/>
          <w:szCs w:val="20"/>
        </w:rPr>
        <w:t>accepting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 this </w:t>
      </w:r>
      <w:r w:rsidR="00D3481F" w:rsidRPr="00005652">
        <w:rPr>
          <w:rFonts w:ascii="Arial" w:eastAsia="Arial" w:hAnsi="Arial" w:cs="Arial"/>
          <w:color w:val="000000"/>
          <w:sz w:val="20"/>
          <w:szCs w:val="20"/>
        </w:rPr>
        <w:t>Attachment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1E674B" w:rsidRPr="00005652">
        <w:rPr>
          <w:rFonts w:ascii="Arial" w:eastAsia="Arial" w:hAnsi="Arial" w:cs="Arial"/>
          <w:color w:val="000000"/>
          <w:sz w:val="20"/>
          <w:szCs w:val="20"/>
        </w:rPr>
        <w:t xml:space="preserve">Customer 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agrees to purchase the services as set forth in </w:t>
      </w:r>
      <w:r w:rsidR="00172526">
        <w:rPr>
          <w:rFonts w:ascii="Arial" w:eastAsia="Arial" w:hAnsi="Arial" w:cs="Arial"/>
          <w:color w:val="000000"/>
          <w:sz w:val="20"/>
          <w:szCs w:val="20"/>
        </w:rPr>
        <w:t>Attachment 7 (Toshiba M&amp;S Activation for Purchased Equipment).</w:t>
      </w:r>
      <w:r w:rsidR="001E674B" w:rsidRPr="000056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E674B" w:rsidRPr="00005652">
        <w:rPr>
          <w:rFonts w:ascii="Arial" w:eastAsia="Arial" w:hAnsi="Arial" w:cs="Arial"/>
          <w:color w:val="000000"/>
          <w:sz w:val="20"/>
          <w:szCs w:val="20"/>
        </w:rPr>
        <w:t>Contractor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 agrees to provide parts, labor, ink, toner, and toner collection containers (the “Maintenance Services”) for the equipment listed </w:t>
      </w:r>
      <w:r w:rsidR="00E221B4" w:rsidRPr="00005652">
        <w:rPr>
          <w:rFonts w:ascii="Arial" w:eastAsia="Arial" w:hAnsi="Arial" w:cs="Arial"/>
          <w:color w:val="000000"/>
          <w:sz w:val="20"/>
          <w:szCs w:val="20"/>
        </w:rPr>
        <w:t>i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="008B628E" w:rsidRPr="00005652">
        <w:rPr>
          <w:rFonts w:ascii="Arial" w:eastAsia="Arial" w:hAnsi="Arial" w:cs="Arial"/>
          <w:color w:val="000000"/>
          <w:sz w:val="20"/>
          <w:szCs w:val="20"/>
        </w:rPr>
        <w:t>Attachment 6, Toshiba Lease Order Form</w:t>
      </w:r>
      <w:r w:rsidR="00B37301">
        <w:rPr>
          <w:rFonts w:ascii="Arial" w:eastAsia="Arial" w:hAnsi="Arial" w:cs="Arial"/>
          <w:color w:val="000000"/>
          <w:sz w:val="20"/>
          <w:szCs w:val="20"/>
        </w:rPr>
        <w:t xml:space="preserve"> Schedule</w:t>
      </w:r>
      <w:r w:rsidR="00E221B4" w:rsidRPr="0000565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65863" w:rsidRPr="00005652">
        <w:rPr>
          <w:rFonts w:ascii="Arial" w:eastAsia="Arial" w:hAnsi="Arial" w:cs="Arial"/>
          <w:color w:val="000000"/>
          <w:sz w:val="20"/>
          <w:szCs w:val="20"/>
        </w:rPr>
        <w:t xml:space="preserve">in 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>accordance with the terms and conditions of th</w:t>
      </w:r>
      <w:r w:rsidR="001E674B" w:rsidRPr="00005652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="00D3481F" w:rsidRPr="00005652">
        <w:rPr>
          <w:rFonts w:ascii="Arial" w:eastAsia="Arial" w:hAnsi="Arial" w:cs="Arial"/>
          <w:color w:val="000000"/>
          <w:sz w:val="20"/>
          <w:szCs w:val="20"/>
        </w:rPr>
        <w:t>Master Agreement</w:t>
      </w:r>
      <w:r w:rsidR="00365863" w:rsidRPr="00005652">
        <w:rPr>
          <w:rFonts w:ascii="Arial" w:eastAsia="Arial" w:hAnsi="Arial" w:cs="Arial"/>
          <w:color w:val="000000"/>
          <w:sz w:val="20"/>
          <w:szCs w:val="20"/>
        </w:rPr>
        <w:t xml:space="preserve"> and the Maintenance Agreement Terms below</w:t>
      </w:r>
      <w:r w:rsidR="0065447A" w:rsidRPr="00005652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6B3D56B7" w14:textId="77777777" w:rsidR="00406B4F" w:rsidRPr="00005652" w:rsidRDefault="00406B4F" w:rsidP="00D513F9">
      <w:pPr>
        <w:spacing w:before="24" w:line="151" w:lineRule="exact"/>
        <w:textAlignment w:val="baseline"/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2B349302" w14:textId="77777777" w:rsidR="005B2C27" w:rsidRPr="00005652" w:rsidRDefault="007A58B6" w:rsidP="00D513F9">
      <w:pPr>
        <w:spacing w:before="24" w:line="151" w:lineRule="exact"/>
        <w:textAlignment w:val="baseline"/>
        <w:rPr>
          <w:rFonts w:ascii="Arial" w:eastAsia="Arial Narrow" w:hAnsi="Arial" w:cs="Arial"/>
          <w:b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b/>
          <w:color w:val="000000"/>
          <w:sz w:val="20"/>
          <w:szCs w:val="20"/>
        </w:rPr>
        <w:t>MAINTENANCE AGREEMENT</w:t>
      </w:r>
      <w:r w:rsidR="000F1341" w:rsidRPr="00005652">
        <w:rPr>
          <w:rFonts w:ascii="Arial" w:eastAsia="Arial Narrow" w:hAnsi="Arial" w:cs="Arial"/>
          <w:b/>
          <w:color w:val="000000"/>
          <w:sz w:val="20"/>
          <w:szCs w:val="20"/>
        </w:rPr>
        <w:t xml:space="preserve"> TERMS</w:t>
      </w:r>
    </w:p>
    <w:p w14:paraId="1AF87631" w14:textId="77777777" w:rsidR="00406B4F" w:rsidRPr="00005652" w:rsidRDefault="00406B4F" w:rsidP="00D513F9">
      <w:pPr>
        <w:spacing w:before="24" w:line="151" w:lineRule="exact"/>
        <w:textAlignment w:val="baseline"/>
        <w:rPr>
          <w:rFonts w:ascii="Arial" w:eastAsia="Arial Narrow" w:hAnsi="Arial" w:cs="Arial"/>
          <w:b/>
          <w:color w:val="000000"/>
          <w:sz w:val="20"/>
          <w:szCs w:val="20"/>
        </w:rPr>
      </w:pPr>
    </w:p>
    <w:p w14:paraId="48DAEDB2" w14:textId="3F2EDF80" w:rsidR="0022709B" w:rsidRDefault="0022709B" w:rsidP="00941E50">
      <w:pPr>
        <w:pStyle w:val="ListParagraph"/>
        <w:numPr>
          <w:ilvl w:val="0"/>
          <w:numId w:val="11"/>
        </w:numPr>
        <w:ind w:right="72"/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b/>
          <w:color w:val="000000"/>
          <w:sz w:val="20"/>
          <w:szCs w:val="20"/>
        </w:rPr>
        <w:t>TERM: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65447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Each asset 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>shall be annually renewable on each yearly anniversary date for an additional one (1) year period</w:t>
      </w:r>
      <w:r w:rsidR="00B37301">
        <w:rPr>
          <w:rFonts w:ascii="Arial" w:eastAsia="Arial Narrow" w:hAnsi="Arial" w:cs="Arial"/>
          <w:color w:val="000000"/>
          <w:sz w:val="20"/>
          <w:szCs w:val="20"/>
        </w:rPr>
        <w:t xml:space="preserve"> (“Renewal Date”)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shall notify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in writing of any such pending anniversary date no later than ninety (9</w:t>
      </w:r>
      <w:r w:rsidR="00406B4F" w:rsidRPr="00005652">
        <w:rPr>
          <w:rFonts w:ascii="Arial" w:eastAsia="Arial Narrow" w:hAnsi="Arial" w:cs="Arial"/>
          <w:color w:val="000000"/>
          <w:sz w:val="20"/>
          <w:szCs w:val="20"/>
        </w:rPr>
        <w:t>0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) days prior to such date, and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shall have until </w:t>
      </w:r>
      <w:r w:rsidR="006A03D3" w:rsidRPr="00005652">
        <w:rPr>
          <w:rFonts w:ascii="Arial" w:eastAsia="Arial Narrow" w:hAnsi="Arial" w:cs="Arial"/>
          <w:color w:val="000000"/>
          <w:sz w:val="20"/>
          <w:szCs w:val="20"/>
        </w:rPr>
        <w:t>thirty (30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) days prior to such date to notify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in writing that it wishes to renew the term for an additional year in order for such renewal to take effect.</w:t>
      </w:r>
      <w:r w:rsidR="0065447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</w:p>
    <w:p w14:paraId="6A4A35B5" w14:textId="77777777" w:rsidR="00005652" w:rsidRPr="00005652" w:rsidRDefault="00005652" w:rsidP="00005652">
      <w:pPr>
        <w:pStyle w:val="ListParagraph"/>
        <w:ind w:left="360" w:right="72"/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11DDB2D6" w14:textId="3BFB4070" w:rsidR="0022709B" w:rsidRDefault="0022709B" w:rsidP="00941E50">
      <w:pPr>
        <w:pStyle w:val="ListParagraph"/>
        <w:numPr>
          <w:ilvl w:val="0"/>
          <w:numId w:val="11"/>
        </w:numPr>
        <w:ind w:right="72"/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For each piece of equipment under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there will be a Start Date &amp; Start Meter. Service for each piece of equipment will be provided from the Start Date &amp; Start Meter until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is terminated or the equipment is withdrawn from service.</w:t>
      </w:r>
    </w:p>
    <w:p w14:paraId="30E3E0CE" w14:textId="417CE3E7" w:rsidR="00005652" w:rsidRPr="00005652" w:rsidRDefault="00005652" w:rsidP="00005652">
      <w:pPr>
        <w:ind w:right="72"/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0122882C" w14:textId="6CB607AE" w:rsidR="005B2C27" w:rsidRDefault="0065447A" w:rsidP="00941E50">
      <w:pPr>
        <w:pStyle w:val="ListParagraph"/>
        <w:numPr>
          <w:ilvl w:val="0"/>
          <w:numId w:val="11"/>
        </w:numPr>
        <w:ind w:right="72"/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b/>
          <w:color w:val="000000"/>
          <w:sz w:val="20"/>
          <w:szCs w:val="20"/>
        </w:rPr>
        <w:t xml:space="preserve">REMOVAL FROM SERVICE.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2270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may withdraw individual equipment by providing thirty (30) day</w:t>
      </w:r>
      <w:r w:rsidR="002331BF">
        <w:rPr>
          <w:rFonts w:ascii="Arial" w:eastAsia="Arial Narrow" w:hAnsi="Arial" w:cs="Arial"/>
          <w:color w:val="000000"/>
          <w:sz w:val="20"/>
          <w:szCs w:val="20"/>
        </w:rPr>
        <w:t>s’</w:t>
      </w:r>
      <w:r w:rsidR="002270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written notice prior to the Renewal Date.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2270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B37301">
        <w:rPr>
          <w:rFonts w:ascii="Arial" w:eastAsia="Arial Narrow" w:hAnsi="Arial" w:cs="Arial"/>
          <w:color w:val="000000"/>
          <w:sz w:val="20"/>
          <w:szCs w:val="20"/>
        </w:rPr>
        <w:t>shall be</w:t>
      </w:r>
      <w:r w:rsidR="002270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responsible for a</w:t>
      </w:r>
      <w:r w:rsidR="00B37301">
        <w:rPr>
          <w:rFonts w:ascii="Arial" w:eastAsia="Arial Narrow" w:hAnsi="Arial" w:cs="Arial"/>
          <w:color w:val="000000"/>
          <w:sz w:val="20"/>
          <w:szCs w:val="20"/>
        </w:rPr>
        <w:t xml:space="preserve">ny current and past due payments </w:t>
      </w:r>
      <w:r w:rsidR="002270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if equipment is withdrawn.</w:t>
      </w:r>
    </w:p>
    <w:p w14:paraId="009AF277" w14:textId="5A0F054D" w:rsidR="00005652" w:rsidRPr="00005652" w:rsidRDefault="00005652" w:rsidP="00005652">
      <w:pPr>
        <w:ind w:right="72"/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24CEBDF4" w14:textId="758B9B92" w:rsidR="00266DDC" w:rsidRDefault="0065447A" w:rsidP="00941E50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b/>
          <w:color w:val="000000"/>
          <w:sz w:val="20"/>
          <w:szCs w:val="20"/>
        </w:rPr>
        <w:t>INVOICING CHARGES</w:t>
      </w:r>
      <w:r w:rsidR="00BD4F2C" w:rsidRPr="00005652">
        <w:rPr>
          <w:rFonts w:ascii="Arial" w:eastAsia="Arial Narrow" w:hAnsi="Arial" w:cs="Arial"/>
          <w:b/>
          <w:color w:val="000000"/>
          <w:sz w:val="20"/>
          <w:szCs w:val="20"/>
        </w:rPr>
        <w:t>.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will pay the charges </w:t>
      </w:r>
      <w:r w:rsidR="00C7255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set forth in </w:t>
      </w:r>
      <w:r w:rsidR="00B37301">
        <w:rPr>
          <w:rFonts w:ascii="Arial" w:eastAsia="Arial Narrow" w:hAnsi="Arial" w:cs="Arial"/>
          <w:color w:val="000000"/>
          <w:sz w:val="20"/>
          <w:szCs w:val="20"/>
        </w:rPr>
        <w:t xml:space="preserve">Attachment 5, </w:t>
      </w:r>
      <w:r w:rsidR="00C7255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8B628E" w:rsidRPr="00005652">
        <w:rPr>
          <w:rFonts w:ascii="Arial" w:eastAsia="Arial Narrow" w:hAnsi="Arial" w:cs="Arial"/>
          <w:color w:val="000000"/>
          <w:sz w:val="20"/>
          <w:szCs w:val="20"/>
        </w:rPr>
        <w:t>Toshiba Lease</w:t>
      </w:r>
      <w:r w:rsidR="00D3481F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Order Form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 The </w:t>
      </w:r>
      <w:r w:rsidR="00BD4F2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first 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>M</w:t>
      </w:r>
      <w:r w:rsidR="00BD4F2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inimum 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>P</w:t>
      </w:r>
      <w:r w:rsidR="00BD4F2C" w:rsidRPr="00005652">
        <w:rPr>
          <w:rFonts w:ascii="Arial" w:eastAsia="Arial Narrow" w:hAnsi="Arial" w:cs="Arial"/>
          <w:color w:val="000000"/>
          <w:sz w:val="20"/>
          <w:szCs w:val="20"/>
        </w:rPr>
        <w:t>ayment</w:t>
      </w:r>
      <w:r w:rsidR="00956D53">
        <w:rPr>
          <w:rFonts w:ascii="Arial" w:eastAsia="Arial Narrow" w:hAnsi="Arial" w:cs="Arial"/>
          <w:color w:val="000000"/>
          <w:sz w:val="20"/>
          <w:szCs w:val="20"/>
        </w:rPr>
        <w:t xml:space="preserve"> (i.e. equipment portion of payment)</w:t>
      </w:r>
      <w:r w:rsidR="00BD4F2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is due </w:t>
      </w:r>
      <w:r w:rsidR="002B705A">
        <w:rPr>
          <w:rFonts w:ascii="Arial" w:eastAsia="Arial Narrow" w:hAnsi="Arial" w:cs="Arial"/>
          <w:color w:val="000000"/>
          <w:sz w:val="20"/>
          <w:szCs w:val="20"/>
        </w:rPr>
        <w:t xml:space="preserve">within 30 days of </w:t>
      </w:r>
      <w:r w:rsidR="00BD4F2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invoice. Thereafter, Minimum Payments will be due on the same date each month during the Term of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="007E52C9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 Excess 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>c</w:t>
      </w:r>
      <w:r w:rsidR="007E52C9" w:rsidRPr="00005652">
        <w:rPr>
          <w:rFonts w:ascii="Arial" w:eastAsia="Arial Narrow" w:hAnsi="Arial" w:cs="Arial"/>
          <w:color w:val="000000"/>
          <w:sz w:val="20"/>
          <w:szCs w:val="20"/>
        </w:rPr>
        <w:t>lic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>k charges</w:t>
      </w:r>
      <w:r w:rsidR="005704A6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or Overage Charges</w:t>
      </w:r>
      <w:r w:rsidR="007E52C9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, </w:t>
      </w:r>
      <w:r w:rsidR="005704A6" w:rsidRPr="00005652">
        <w:rPr>
          <w:rFonts w:ascii="Arial" w:eastAsia="Arial Narrow" w:hAnsi="Arial" w:cs="Arial"/>
          <w:color w:val="000000"/>
          <w:sz w:val="20"/>
          <w:szCs w:val="20"/>
        </w:rPr>
        <w:t>as</w:t>
      </w:r>
      <w:r w:rsidR="007E52C9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5704A6" w:rsidRPr="00005652">
        <w:rPr>
          <w:rFonts w:ascii="Arial" w:eastAsia="Arial Narrow" w:hAnsi="Arial" w:cs="Arial"/>
          <w:color w:val="000000"/>
          <w:sz w:val="20"/>
          <w:szCs w:val="20"/>
        </w:rPr>
        <w:t>applicable;</w:t>
      </w:r>
      <w:r w:rsidR="007E52C9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will be invoiced </w:t>
      </w:r>
      <w:r w:rsidR="005704A6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monthly for the </w:t>
      </w:r>
      <w:r w:rsidR="007E52C9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period selected on the </w:t>
      </w:r>
      <w:r w:rsidR="005704A6" w:rsidRPr="00005652">
        <w:rPr>
          <w:rFonts w:ascii="Arial" w:eastAsia="Arial Narrow" w:hAnsi="Arial" w:cs="Arial"/>
          <w:color w:val="000000"/>
          <w:sz w:val="20"/>
          <w:szCs w:val="20"/>
        </w:rPr>
        <w:t>Maintenance Order Form</w:t>
      </w:r>
      <w:r w:rsidR="007E52C9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</w:t>
      </w:r>
    </w:p>
    <w:p w14:paraId="1B15EBA4" w14:textId="72752E74" w:rsidR="00005652" w:rsidRPr="00005652" w:rsidRDefault="00005652" w:rsidP="00005652">
      <w:p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2A59F570" w14:textId="453E1DE9" w:rsidR="00DF7C70" w:rsidRDefault="007E52C9" w:rsidP="00941E50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z w:val="20"/>
          <w:szCs w:val="20"/>
        </w:rPr>
        <w:t>If</w:t>
      </w:r>
      <w:r w:rsidR="00BD4F2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DB1F0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any part of a payment is not made by the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DB1F0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when due,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DB1F0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agrees to pay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="00DB1F0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 Late Charge </w:t>
      </w:r>
      <w:r w:rsidR="0028770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pursuant to the terms </w:t>
      </w:r>
      <w:r w:rsidR="002B705A">
        <w:rPr>
          <w:rFonts w:ascii="Arial" w:eastAsia="Arial Narrow" w:hAnsi="Arial" w:cs="Arial"/>
          <w:color w:val="000000"/>
          <w:sz w:val="20"/>
          <w:szCs w:val="20"/>
        </w:rPr>
        <w:t>in the Participating Addendum</w:t>
      </w:r>
      <w:r w:rsidR="0028770B" w:rsidRPr="00005652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28ACD07B" w14:textId="304DC951" w:rsidR="00005652" w:rsidRPr="00005652" w:rsidRDefault="00005652" w:rsidP="00005652">
      <w:p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582986B7" w14:textId="59686F1E" w:rsidR="0066040F" w:rsidRDefault="002B705A" w:rsidP="00941E50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>
        <w:rPr>
          <w:rFonts w:ascii="Arial" w:eastAsia="Arial Narrow" w:hAnsi="Arial" w:cs="Arial"/>
          <w:color w:val="000000"/>
          <w:sz w:val="20"/>
          <w:szCs w:val="20"/>
        </w:rPr>
        <w:t>If Customer</w:t>
      </w:r>
      <w:r w:rsidR="008741E7">
        <w:rPr>
          <w:rFonts w:ascii="Arial" w:eastAsia="Arial Narrow" w:hAnsi="Arial" w:cs="Arial"/>
          <w:color w:val="000000"/>
          <w:sz w:val="20"/>
          <w:szCs w:val="20"/>
        </w:rPr>
        <w:t xml:space="preserve"> does not supply an actual and accurate meter reading, then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="00DB1F0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may </w:t>
      </w:r>
      <w:r w:rsidR="008741E7">
        <w:rPr>
          <w:rFonts w:ascii="Arial" w:eastAsia="Arial Narrow" w:hAnsi="Arial" w:cs="Arial"/>
          <w:color w:val="000000"/>
          <w:sz w:val="20"/>
          <w:szCs w:val="20"/>
        </w:rPr>
        <w:t xml:space="preserve">calculate an </w:t>
      </w:r>
      <w:r w:rsidR="00DB1F0A" w:rsidRPr="00005652">
        <w:rPr>
          <w:rFonts w:ascii="Arial" w:eastAsia="Arial Narrow" w:hAnsi="Arial" w:cs="Arial"/>
          <w:color w:val="000000"/>
          <w:sz w:val="20"/>
          <w:szCs w:val="20"/>
        </w:rPr>
        <w:t>estimate</w:t>
      </w:r>
      <w:r w:rsidR="008741E7">
        <w:rPr>
          <w:rFonts w:ascii="Arial" w:eastAsia="Arial Narrow" w:hAnsi="Arial" w:cs="Arial"/>
          <w:color w:val="000000"/>
          <w:sz w:val="20"/>
          <w:szCs w:val="20"/>
        </w:rPr>
        <w:t>d meter reading from the prior three months of actual meter reads. At no time</w:t>
      </w:r>
      <w:r w:rsidR="002331BF">
        <w:rPr>
          <w:rFonts w:ascii="Arial" w:eastAsia="Arial Narrow" w:hAnsi="Arial" w:cs="Arial"/>
          <w:color w:val="000000"/>
          <w:sz w:val="20"/>
          <w:szCs w:val="20"/>
        </w:rPr>
        <w:t>,</w:t>
      </w:r>
      <w:r w:rsidR="008741E7">
        <w:rPr>
          <w:rFonts w:ascii="Arial" w:eastAsia="Arial Narrow" w:hAnsi="Arial" w:cs="Arial"/>
          <w:color w:val="000000"/>
          <w:sz w:val="20"/>
          <w:szCs w:val="20"/>
        </w:rPr>
        <w:t xml:space="preserve"> however, will the estimated meter read exceed the highest actual usage of any prior month. Appropriate adjustments will be made by Contractor in a subsequent billing cycle following Customer providing actual and accurate meter readings. </w:t>
      </w:r>
      <w:r w:rsidR="00DB1F0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. Notwithstanding any adjustment, the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DB1F0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will never pay less than the Minimum Payment. </w:t>
      </w:r>
    </w:p>
    <w:p w14:paraId="7A2C6C91" w14:textId="73EA06E3" w:rsidR="00005652" w:rsidRPr="00005652" w:rsidRDefault="00005652" w:rsidP="00005652">
      <w:p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4C220571" w14:textId="0F53AADD" w:rsidR="00B142DD" w:rsidRDefault="00DB1F0A" w:rsidP="00941E50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b/>
          <w:color w:val="000000"/>
          <w:sz w:val="20"/>
          <w:szCs w:val="20"/>
        </w:rPr>
        <w:t>CONSUMABLE SUPPLIES</w:t>
      </w:r>
      <w:r w:rsidR="0053269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All supplies delivered as part of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remain the property of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until and unless they are consumed by the equipment in the performance of this </w:t>
      </w:r>
      <w:r w:rsidR="00FF6C2D" w:rsidRPr="00005652">
        <w:rPr>
          <w:rFonts w:ascii="Arial" w:eastAsia="Arial Narrow" w:hAnsi="Arial" w:cs="Arial"/>
          <w:color w:val="000000"/>
          <w:sz w:val="20"/>
          <w:szCs w:val="20"/>
        </w:rPr>
        <w:t>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Any supplies not consumed as specified and not surrendered to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upon ex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piration or termination of the Maintenance Services for an asse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t will be invoiced to the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at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’s then current </w:t>
      </w:r>
      <w:r w:rsidR="00D3481F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Master Agreement 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prices. Notwithstanding the foregoing, the risk of loss of the consumable supplies shall be transferred from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to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if such consumable supplies are stored at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>’s facility.</w:t>
      </w:r>
      <w:r w:rsidR="00B142DD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</w:p>
    <w:p w14:paraId="34B58D45" w14:textId="00768D9D" w:rsidR="00005652" w:rsidRPr="00005652" w:rsidRDefault="00005652" w:rsidP="00005652">
      <w:p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503791DF" w14:textId="35FDE378" w:rsidR="0066040F" w:rsidRDefault="00DB1F0A" w:rsidP="00941E50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b/>
          <w:color w:val="000000"/>
          <w:sz w:val="20"/>
          <w:szCs w:val="20"/>
        </w:rPr>
        <w:t>TAXES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</w:t>
      </w:r>
      <w:r w:rsidR="007F2CEE" w:rsidRPr="00005652">
        <w:rPr>
          <w:rFonts w:ascii="Arial" w:eastAsia="Arial Narrow" w:hAnsi="Arial" w:cs="Arial"/>
          <w:color w:val="000000"/>
          <w:sz w:val="20"/>
          <w:szCs w:val="20"/>
        </w:rPr>
        <w:t>Unless Tax Exempt</w:t>
      </w:r>
      <w:r w:rsidR="00E25F6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(as evidenced by certificate or i</w:t>
      </w:r>
      <w:r w:rsidR="00E25F6B" w:rsidRPr="00005652">
        <w:rPr>
          <w:rFonts w:ascii="Arial" w:hAnsi="Arial" w:cs="Arial"/>
          <w:sz w:val="20"/>
          <w:szCs w:val="20"/>
        </w:rPr>
        <w:t>n the case of exempt sales to federal, state, and local government entities a seller may also document the exemption by retaining a copy of a government issued purchase order, government check or voucher in place of the exemption certificate)</w:t>
      </w:r>
      <w:r w:rsidR="008741E7">
        <w:rPr>
          <w:rFonts w:ascii="Arial" w:eastAsia="Arial Narrow" w:hAnsi="Arial" w:cs="Arial"/>
          <w:color w:val="000000"/>
          <w:sz w:val="20"/>
          <w:szCs w:val="20"/>
        </w:rPr>
        <w:t>, in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addition to the charges due under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, the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agrees to pay </w:t>
      </w:r>
      <w:r w:rsidR="008741E7">
        <w:rPr>
          <w:rFonts w:ascii="Arial" w:eastAsia="Arial Narrow" w:hAnsi="Arial" w:cs="Arial"/>
          <w:color w:val="000000"/>
          <w:sz w:val="20"/>
          <w:szCs w:val="20"/>
        </w:rPr>
        <w:t>any applicable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taxes resulting from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="008741E7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6BDCF3BD" w14:textId="6214B00B" w:rsidR="00005652" w:rsidRPr="00005652" w:rsidRDefault="00005652" w:rsidP="00005652">
      <w:p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7EE3FF56" w14:textId="680C3E45" w:rsidR="008E150A" w:rsidRDefault="00BD4F2C" w:rsidP="00941E50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b/>
          <w:color w:val="000000"/>
          <w:sz w:val="20"/>
          <w:szCs w:val="20"/>
        </w:rPr>
        <w:t>INS</w:t>
      </w:r>
      <w:r w:rsidR="00DB1F0A" w:rsidRPr="00005652">
        <w:rPr>
          <w:rFonts w:ascii="Arial" w:eastAsia="Arial Narrow" w:hAnsi="Arial" w:cs="Arial"/>
          <w:b/>
          <w:color w:val="000000"/>
          <w:sz w:val="20"/>
          <w:szCs w:val="20"/>
        </w:rPr>
        <w:t>TALLATION AND ACCESS TO EQUIPMENT.</w:t>
      </w:r>
      <w:r w:rsidR="00DB1F0A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agrees to </w:t>
      </w:r>
      <w:r w:rsidR="00CE154E" w:rsidRPr="00005652">
        <w:rPr>
          <w:rFonts w:ascii="Arial" w:eastAsia="Arial Narrow" w:hAnsi="Arial" w:cs="Arial"/>
          <w:color w:val="000000"/>
          <w:sz w:val="20"/>
          <w:szCs w:val="20"/>
        </w:rPr>
        <w:t>provide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adequate space, environment and appropriate electrical requirements including, if required, a </w:t>
      </w:r>
      <w:r w:rsidR="00BA413F" w:rsidRPr="00005652">
        <w:rPr>
          <w:rFonts w:ascii="Arial" w:eastAsia="Arial Narrow" w:hAnsi="Arial" w:cs="Arial"/>
          <w:color w:val="000000"/>
          <w:sz w:val="20"/>
          <w:szCs w:val="20"/>
        </w:rPr>
        <w:t>dedicated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120 volt or 220 volt electrical line, as published in the Operator and Service Manuals for the operation and maintenance of the equipment.  If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has installed a power filter/surge protector on the </w:t>
      </w:r>
      <w:r w:rsidR="00BA413F" w:rsidRPr="00005652">
        <w:rPr>
          <w:rFonts w:ascii="Arial" w:eastAsia="Arial Narrow" w:hAnsi="Arial" w:cs="Arial"/>
          <w:color w:val="000000"/>
          <w:sz w:val="20"/>
          <w:szCs w:val="20"/>
        </w:rPr>
        <w:t>equipment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>, it must at all times remain continuously installed.  If it is removed</w:t>
      </w:r>
      <w:r w:rsidR="002331BF">
        <w:rPr>
          <w:rFonts w:ascii="Arial" w:eastAsia="Arial Narrow" w:hAnsi="Arial" w:cs="Arial"/>
          <w:color w:val="000000"/>
          <w:sz w:val="20"/>
          <w:szCs w:val="20"/>
        </w:rPr>
        <w:t>,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agrees to purchase a replacement from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immediately. </w:t>
      </w:r>
      <w:r w:rsidR="008741E7">
        <w:rPr>
          <w:rFonts w:ascii="Arial" w:eastAsia="Arial Narrow" w:hAnsi="Arial" w:cs="Arial"/>
          <w:color w:val="000000"/>
          <w:sz w:val="20"/>
          <w:szCs w:val="20"/>
        </w:rPr>
        <w:t xml:space="preserve">Upon request,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shall have full and free access to the equipment to provide service </w:t>
      </w:r>
      <w:r w:rsidR="00BA413F" w:rsidRPr="00005652">
        <w:rPr>
          <w:rFonts w:ascii="Arial" w:eastAsia="Arial Narrow" w:hAnsi="Arial" w:cs="Arial"/>
          <w:color w:val="000000"/>
          <w:sz w:val="20"/>
          <w:szCs w:val="20"/>
        </w:rPr>
        <w:t>thereon</w:t>
      </w:r>
      <w:r w:rsidR="00A13CDC" w:rsidRPr="00005652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2FD7E6A3" w14:textId="597456AA" w:rsidR="00005652" w:rsidRDefault="00005652" w:rsidP="00005652">
      <w:p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0BC77298" w14:textId="246BE636" w:rsidR="0066040F" w:rsidRDefault="00DB1F0A" w:rsidP="00941E50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If persons other than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representatives install conversions, feature additions, accessories or perform service on equipment and as a result further repair by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is required, such repairs shall be made at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>’s applicable Time and Material rates and terms then in effect</w:t>
      </w:r>
      <w:r w:rsidR="00D3481F" w:rsidRPr="00005652">
        <w:rPr>
          <w:rFonts w:ascii="Arial" w:eastAsia="Arial Narrow" w:hAnsi="Arial" w:cs="Arial"/>
          <w:color w:val="000000"/>
          <w:sz w:val="20"/>
          <w:szCs w:val="20"/>
        </w:rPr>
        <w:t>, per the Master Agreement pricing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If such additional repair is required,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may immediately withdraw the equipment from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5A6B5AAA" w14:textId="77777777" w:rsidR="00005652" w:rsidRPr="00005652" w:rsidRDefault="00005652" w:rsidP="00005652">
      <w:pPr>
        <w:pStyle w:val="ListParagraph"/>
        <w:ind w:left="360"/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7D83D781" w14:textId="68F36CAF" w:rsidR="0066040F" w:rsidRDefault="00DB1F0A" w:rsidP="00941E50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b/>
          <w:color w:val="000000"/>
          <w:sz w:val="20"/>
          <w:szCs w:val="20"/>
        </w:rPr>
        <w:t>KEY OPERATOR - END-USER TRAINING.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7B0ECE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agrees to designate a Key Operator for training on the use, </w:t>
      </w:r>
      <w:r w:rsidR="00B67377">
        <w:rPr>
          <w:rFonts w:ascii="Arial" w:eastAsia="Arial Narrow" w:hAnsi="Arial" w:cs="Arial"/>
          <w:color w:val="000000"/>
          <w:sz w:val="20"/>
          <w:szCs w:val="20"/>
        </w:rPr>
        <w:t>ap</w:t>
      </w:r>
      <w:r w:rsidR="00B67377" w:rsidRPr="00005652">
        <w:rPr>
          <w:rFonts w:ascii="Arial" w:eastAsia="Arial Narrow" w:hAnsi="Arial" w:cs="Arial"/>
          <w:color w:val="000000"/>
          <w:sz w:val="20"/>
          <w:szCs w:val="20"/>
        </w:rPr>
        <w:t>plications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and features of the equipment. The Key Operator will be responsible for normal Key Operator activities as detailed in the Operations Manual and for training additional end-user</w:t>
      </w:r>
      <w:r w:rsidR="002331BF">
        <w:rPr>
          <w:rFonts w:ascii="Arial" w:eastAsia="Arial Narrow" w:hAnsi="Arial" w:cs="Arial"/>
          <w:color w:val="000000"/>
          <w:sz w:val="20"/>
          <w:szCs w:val="20"/>
        </w:rPr>
        <w:t>s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If the Key Operator assignment changes,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agrees to designate a new Key Operator immediately.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agrees to provide training for the de</w:t>
      </w:r>
      <w:r w:rsidR="00CE154E" w:rsidRPr="00005652">
        <w:rPr>
          <w:rFonts w:ascii="Arial" w:eastAsia="Arial Narrow" w:hAnsi="Arial" w:cs="Arial"/>
          <w:color w:val="000000"/>
          <w:sz w:val="20"/>
          <w:szCs w:val="20"/>
        </w:rPr>
        <w:t>sign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ated Key Operator 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lastRenderedPageBreak/>
        <w:t xml:space="preserve">and to provide initial training for end-users on the use, applications and features of the equipment. Additional training requested by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will be at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E0680E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Master Agreement </w:t>
      </w:r>
      <w:r w:rsidR="00A6099B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hourly rates.</w:t>
      </w:r>
    </w:p>
    <w:p w14:paraId="1192E86D" w14:textId="2F4C41E5" w:rsidR="00005652" w:rsidRPr="00005652" w:rsidRDefault="00005652" w:rsidP="00005652">
      <w:p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</w:p>
    <w:p w14:paraId="45EF6919" w14:textId="77777777" w:rsidR="00BA77D8" w:rsidRPr="00005652" w:rsidRDefault="00DB1F0A" w:rsidP="00941E50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b/>
          <w:color w:val="000000"/>
          <w:sz w:val="20"/>
          <w:szCs w:val="20"/>
        </w:rPr>
        <w:t>EXCLUSIONS.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Service under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does not include:</w:t>
      </w:r>
    </w:p>
    <w:p w14:paraId="0C9FBA07" w14:textId="23409906" w:rsidR="00DF7C70" w:rsidRPr="00005652" w:rsidRDefault="00BA77D8" w:rsidP="00941E50">
      <w:pPr>
        <w:pStyle w:val="ListParagraph"/>
        <w:numPr>
          <w:ilvl w:val="0"/>
          <w:numId w:val="12"/>
        </w:numPr>
        <w:tabs>
          <w:tab w:val="left" w:pos="144"/>
        </w:tabs>
        <w:spacing w:before="25" w:after="4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Furnishing paper, staples</w:t>
      </w:r>
      <w:r w:rsidR="000D6297"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 (unless purchased by the Customer)</w:t>
      </w: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, replacement print heads, </w:t>
      </w:r>
      <w:r w:rsidR="00A6099B"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batteries</w:t>
      </w: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, ribbons, media, periodic maintenance on thermal printers:</w:t>
      </w:r>
    </w:p>
    <w:p w14:paraId="66B05F21" w14:textId="77777777" w:rsidR="0066040F" w:rsidRPr="00005652" w:rsidRDefault="00DB1F0A" w:rsidP="00941E50">
      <w:pPr>
        <w:pStyle w:val="ListParagraph"/>
        <w:numPr>
          <w:ilvl w:val="0"/>
          <w:numId w:val="12"/>
        </w:numPr>
        <w:tabs>
          <w:tab w:val="left" w:pos="144"/>
        </w:tabs>
        <w:spacing w:before="25" w:after="4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Service of equipment if moved outside of </w:t>
      </w:r>
      <w:r w:rsidR="001E674B"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’s designated service area;</w:t>
      </w:r>
    </w:p>
    <w:p w14:paraId="173E64DC" w14:textId="0844EA3D" w:rsidR="0066040F" w:rsidRPr="00005652" w:rsidRDefault="00DB1F0A" w:rsidP="00941E50">
      <w:pPr>
        <w:pStyle w:val="ListParagraph"/>
        <w:numPr>
          <w:ilvl w:val="0"/>
          <w:numId w:val="12"/>
        </w:numPr>
        <w:tabs>
          <w:tab w:val="left" w:pos="144"/>
        </w:tabs>
        <w:spacing w:before="17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Repair of damage or increase in service time caused by </w:t>
      </w:r>
      <w:r w:rsidR="008741E7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Customer </w:t>
      </w: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accident, misuse, negligence, abuse or disaster;</w:t>
      </w:r>
    </w:p>
    <w:p w14:paraId="4FB006AA" w14:textId="77777777" w:rsidR="00BA77D8" w:rsidRPr="00005652" w:rsidRDefault="00DB1F0A" w:rsidP="00941E50">
      <w:pPr>
        <w:pStyle w:val="ListParagraph"/>
        <w:numPr>
          <w:ilvl w:val="0"/>
          <w:numId w:val="12"/>
        </w:numPr>
        <w:tabs>
          <w:tab w:val="left" w:pos="144"/>
        </w:tabs>
        <w:spacing w:before="17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Service of accessories, attachments or click control devices other than those of the same manufacturer as the equipment;</w:t>
      </w:r>
      <w:r w:rsidR="00BA77D8"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 </w:t>
      </w:r>
    </w:p>
    <w:p w14:paraId="2EFC912F" w14:textId="77777777" w:rsidR="0066040F" w:rsidRPr="00005652" w:rsidRDefault="00DB1F0A" w:rsidP="00941E50">
      <w:pPr>
        <w:pStyle w:val="ListParagraph"/>
        <w:numPr>
          <w:ilvl w:val="0"/>
          <w:numId w:val="12"/>
        </w:numPr>
        <w:tabs>
          <w:tab w:val="left" w:pos="144"/>
        </w:tabs>
        <w:spacing w:before="17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Painting or refinishing of the equipment;</w:t>
      </w:r>
    </w:p>
    <w:p w14:paraId="2A5A815B" w14:textId="77777777" w:rsidR="0066040F" w:rsidRPr="00005652" w:rsidRDefault="00BA77D8" w:rsidP="00941E50">
      <w:pPr>
        <w:pStyle w:val="ListParagraph"/>
        <w:numPr>
          <w:ilvl w:val="0"/>
          <w:numId w:val="12"/>
        </w:numPr>
        <w:tabs>
          <w:tab w:val="left" w:pos="144"/>
        </w:tabs>
        <w:spacing w:before="22"/>
        <w:jc w:val="both"/>
        <w:textAlignment w:val="baseline"/>
        <w:rPr>
          <w:rFonts w:ascii="Arial" w:eastAsia="Arial Narrow" w:hAnsi="Arial" w:cs="Arial"/>
          <w:color w:val="000000"/>
          <w:spacing w:val="-2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2"/>
          <w:sz w:val="20"/>
          <w:szCs w:val="20"/>
        </w:rPr>
        <w:t>M</w:t>
      </w:r>
      <w:r w:rsidR="00DB1F0A" w:rsidRPr="00005652">
        <w:rPr>
          <w:rFonts w:ascii="Arial" w:eastAsia="Arial Narrow" w:hAnsi="Arial" w:cs="Arial"/>
          <w:color w:val="000000"/>
          <w:spacing w:val="-2"/>
          <w:sz w:val="20"/>
          <w:szCs w:val="20"/>
        </w:rPr>
        <w:t>aking specification changes;</w:t>
      </w:r>
    </w:p>
    <w:p w14:paraId="6D214C42" w14:textId="77777777" w:rsidR="0066040F" w:rsidRPr="00005652" w:rsidRDefault="00DB1F0A" w:rsidP="00941E50">
      <w:pPr>
        <w:pStyle w:val="ListParagraph"/>
        <w:numPr>
          <w:ilvl w:val="0"/>
          <w:numId w:val="12"/>
        </w:numPr>
        <w:tabs>
          <w:tab w:val="left" w:pos="180"/>
        </w:tabs>
        <w:spacing w:before="17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Performing key operator functions as described in the operator manual;</w:t>
      </w:r>
    </w:p>
    <w:p w14:paraId="317775C4" w14:textId="77777777" w:rsidR="0066040F" w:rsidRPr="00005652" w:rsidRDefault="00DB1F0A" w:rsidP="00941E50">
      <w:pPr>
        <w:pStyle w:val="ListParagraph"/>
        <w:numPr>
          <w:ilvl w:val="0"/>
          <w:numId w:val="12"/>
        </w:numPr>
        <w:tabs>
          <w:tab w:val="left" w:pos="144"/>
        </w:tabs>
        <w:spacing w:before="21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Moving equipment, repair of damage or increase in service time caused by the use of the equipment for other than the ordinary use for which designed;</w:t>
      </w:r>
    </w:p>
    <w:p w14:paraId="4EEDA85C" w14:textId="77777777" w:rsidR="0066040F" w:rsidRPr="00005652" w:rsidRDefault="00DB1F0A" w:rsidP="00941E50">
      <w:pPr>
        <w:pStyle w:val="ListParagraph"/>
        <w:numPr>
          <w:ilvl w:val="0"/>
          <w:numId w:val="12"/>
        </w:numPr>
        <w:tabs>
          <w:tab w:val="left" w:pos="144"/>
        </w:tabs>
        <w:spacing w:before="17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Repair of damage caused by electrical surges or lightning strikes, if equipment is connected to a </w:t>
      </w:r>
      <w:r w:rsidR="001E674B"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 supplied power filter/surge protector repairs will be included;</w:t>
      </w:r>
    </w:p>
    <w:p w14:paraId="0E60A831" w14:textId="003B4B35" w:rsidR="00B142DD" w:rsidRPr="00005652" w:rsidRDefault="00DB1F0A" w:rsidP="00941E50">
      <w:pPr>
        <w:pStyle w:val="ListParagraph"/>
        <w:numPr>
          <w:ilvl w:val="0"/>
          <w:numId w:val="12"/>
        </w:numPr>
        <w:tabs>
          <w:tab w:val="left" w:pos="180"/>
        </w:tabs>
        <w:spacing w:before="17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Repair of damage or increase in service time caused by </w:t>
      </w:r>
      <w:r w:rsidR="00D165FC">
        <w:rPr>
          <w:rFonts w:ascii="Arial" w:eastAsia="Arial Narrow" w:hAnsi="Arial" w:cs="Arial"/>
          <w:color w:val="000000"/>
          <w:sz w:val="20"/>
          <w:szCs w:val="20"/>
        </w:rPr>
        <w:t xml:space="preserve">Customer’s 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failure to continually provide a suitable installation environment as defined by the manufacturer, with all the facilities prescribed by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including,  adequate space, electrical power, air conditioning or humidity control</w:t>
      </w:r>
      <w:r w:rsidR="00D165FC">
        <w:rPr>
          <w:rFonts w:ascii="Arial" w:eastAsia="Arial Narrow" w:hAnsi="Arial" w:cs="Arial"/>
          <w:color w:val="000000"/>
          <w:sz w:val="20"/>
          <w:szCs w:val="20"/>
        </w:rPr>
        <w:t>;</w:t>
      </w:r>
    </w:p>
    <w:p w14:paraId="2D212051" w14:textId="7DC0E36D" w:rsidR="0066040F" w:rsidRPr="00005652" w:rsidRDefault="00DB1F0A" w:rsidP="00941E50">
      <w:pPr>
        <w:pStyle w:val="ListParagraph"/>
        <w:numPr>
          <w:ilvl w:val="0"/>
          <w:numId w:val="12"/>
        </w:numPr>
        <w:tabs>
          <w:tab w:val="left" w:pos="144"/>
        </w:tabs>
        <w:spacing w:before="17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Repair of equipment that has been designated as obsolete by the manufacturer and </w:t>
      </w:r>
      <w:r w:rsidR="002331BF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for which </w:t>
      </w: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genuine OEM parts are no longer available</w:t>
      </w:r>
      <w:r w:rsidR="00D165FC">
        <w:rPr>
          <w:rFonts w:ascii="Arial" w:eastAsia="Arial Narrow" w:hAnsi="Arial" w:cs="Arial"/>
          <w:color w:val="000000"/>
          <w:spacing w:val="-1"/>
          <w:sz w:val="20"/>
          <w:szCs w:val="20"/>
        </w:rPr>
        <w:t>;</w:t>
      </w:r>
    </w:p>
    <w:p w14:paraId="6AE185F6" w14:textId="1B88B3A7" w:rsidR="0066040F" w:rsidRDefault="00DB1F0A" w:rsidP="00941E50">
      <w:pPr>
        <w:pStyle w:val="ListParagraph"/>
        <w:numPr>
          <w:ilvl w:val="0"/>
          <w:numId w:val="12"/>
        </w:numPr>
        <w:tabs>
          <w:tab w:val="left" w:pos="144"/>
          <w:tab w:val="left" w:pos="180"/>
        </w:tabs>
        <w:spacing w:before="17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 xml:space="preserve">Repair of damage or increase of service time caused by </w:t>
      </w:r>
      <w:r w:rsidR="001E674B"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Customer</w:t>
      </w:r>
      <w:r w:rsidRPr="00005652">
        <w:rPr>
          <w:rFonts w:ascii="Arial" w:eastAsia="Arial Narrow" w:hAnsi="Arial" w:cs="Arial"/>
          <w:color w:val="000000"/>
          <w:spacing w:val="-1"/>
          <w:sz w:val="20"/>
          <w:szCs w:val="20"/>
        </w:rPr>
        <w:t>'s use of media outside the specifications as described in the operator manual.</w:t>
      </w:r>
    </w:p>
    <w:p w14:paraId="6660CFC1" w14:textId="77777777" w:rsidR="00005652" w:rsidRPr="00005652" w:rsidRDefault="00005652" w:rsidP="00005652">
      <w:pPr>
        <w:pStyle w:val="ListParagraph"/>
        <w:tabs>
          <w:tab w:val="left" w:pos="144"/>
          <w:tab w:val="left" w:pos="180"/>
        </w:tabs>
        <w:spacing w:before="17"/>
        <w:jc w:val="both"/>
        <w:textAlignment w:val="baseline"/>
        <w:rPr>
          <w:rFonts w:ascii="Arial" w:eastAsia="Arial Narrow" w:hAnsi="Arial" w:cs="Arial"/>
          <w:color w:val="000000"/>
          <w:spacing w:val="-1"/>
          <w:sz w:val="20"/>
          <w:szCs w:val="20"/>
        </w:rPr>
      </w:pPr>
    </w:p>
    <w:p w14:paraId="68DD1398" w14:textId="50D3D085" w:rsidR="0066040F" w:rsidRPr="00005652" w:rsidRDefault="00DB1F0A" w:rsidP="00005652">
      <w:pPr>
        <w:pStyle w:val="ListParagraph"/>
        <w:numPr>
          <w:ilvl w:val="0"/>
          <w:numId w:val="11"/>
        </w:numPr>
        <w:jc w:val="both"/>
        <w:textAlignment w:val="baseline"/>
        <w:rPr>
          <w:rFonts w:ascii="Arial" w:eastAsia="Arial Narrow" w:hAnsi="Arial" w:cs="Arial"/>
          <w:color w:val="000000"/>
          <w:sz w:val="20"/>
          <w:szCs w:val="20"/>
        </w:rPr>
      </w:pP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is not assignable</w:t>
      </w:r>
      <w:r w:rsidR="002331BF">
        <w:rPr>
          <w:rFonts w:ascii="Arial" w:eastAsia="Arial Narrow" w:hAnsi="Arial" w:cs="Arial"/>
          <w:color w:val="000000"/>
          <w:sz w:val="20"/>
          <w:szCs w:val="20"/>
        </w:rPr>
        <w:t>;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its right</w:t>
      </w:r>
      <w:r w:rsidR="002331BF">
        <w:rPr>
          <w:rFonts w:ascii="Arial" w:eastAsia="Arial Narrow" w:hAnsi="Arial" w:cs="Arial"/>
          <w:color w:val="000000"/>
          <w:sz w:val="20"/>
          <w:szCs w:val="20"/>
        </w:rPr>
        <w:t>s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, duties and obligations may not be assigned or transferred by the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Customer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without the prior written consent of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. Any attempt to assign or transfer any of the rights, duties or obligations of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without such consent is </w:t>
      </w:r>
      <w:r w:rsidR="0072433D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void.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="0072433D" w:rsidRPr="00005652">
        <w:rPr>
          <w:rFonts w:ascii="Arial" w:eastAsia="Arial Narrow" w:hAnsi="Arial" w:cs="Arial"/>
          <w:color w:val="000000"/>
          <w:sz w:val="20"/>
          <w:szCs w:val="20"/>
        </w:rPr>
        <w:t>’s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service provided outside the scope of this 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>Maintenance Agreement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will be furnished at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>’s applicable time and material rates.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  <w:r w:rsidR="001E674B" w:rsidRPr="00005652">
        <w:rPr>
          <w:rFonts w:ascii="Arial" w:eastAsia="Arial Narrow" w:hAnsi="Arial" w:cs="Arial"/>
          <w:color w:val="000000"/>
          <w:sz w:val="20"/>
          <w:szCs w:val="20"/>
        </w:rPr>
        <w:t>Contractor</w:t>
      </w:r>
      <w:r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is not responsible for failure to render service due to causes beyond its control.</w:t>
      </w:r>
      <w:r w:rsidR="007A58B6" w:rsidRPr="00005652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</w:p>
    <w:p w14:paraId="04459759" w14:textId="77777777" w:rsidR="00CA1982" w:rsidRPr="00005652" w:rsidRDefault="00CA1982" w:rsidP="00941E50">
      <w:pPr>
        <w:jc w:val="both"/>
        <w:rPr>
          <w:rFonts w:ascii="Arial" w:hAnsi="Arial" w:cs="Arial"/>
          <w:sz w:val="20"/>
          <w:szCs w:val="20"/>
        </w:rPr>
      </w:pPr>
    </w:p>
    <w:sectPr w:rsidR="00CA1982" w:rsidRPr="00005652" w:rsidSect="00E0680E">
      <w:footerReference w:type="default" r:id="rId8"/>
      <w:pgSz w:w="11904" w:h="16843"/>
      <w:pgMar w:top="259" w:right="374" w:bottom="259" w:left="374" w:header="288" w:footer="288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D5D3584" w16cex:dateUtc="2024-09-25T16:27:00Z"/>
  <w16cex:commentExtensible w16cex:durableId="1CE56976" w16cex:dateUtc="2024-09-25T16:49:00Z"/>
  <w16cex:commentExtensible w16cex:durableId="7C5A01E6" w16cex:dateUtc="2024-09-25T16:49:00Z"/>
  <w16cex:commentExtensible w16cex:durableId="77C1CB7F" w16cex:dateUtc="2024-09-25T16:49:00Z"/>
  <w16cex:commentExtensible w16cex:durableId="0B7F4141" w16cex:dateUtc="2024-09-27T17:34:00Z"/>
  <w16cex:commentExtensible w16cex:durableId="7F3361D1" w16cex:dateUtc="2024-09-25T16:50:00Z"/>
  <w16cex:commentExtensible w16cex:durableId="661101AD" w16cex:dateUtc="2024-09-25T16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41B77" w14:textId="77777777" w:rsidR="00246344" w:rsidRDefault="00246344" w:rsidP="00B50748">
      <w:r>
        <w:separator/>
      </w:r>
    </w:p>
  </w:endnote>
  <w:endnote w:type="continuationSeparator" w:id="0">
    <w:p w14:paraId="1C7E2E39" w14:textId="77777777" w:rsidR="00246344" w:rsidRDefault="00246344" w:rsidP="00B5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52323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ECB06E" w14:textId="661A1E33" w:rsidR="00005652" w:rsidRDefault="000056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D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D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B4A79C" w14:textId="77777777" w:rsidR="00B50748" w:rsidRPr="00B50748" w:rsidRDefault="00B50748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65311" w14:textId="77777777" w:rsidR="00246344" w:rsidRDefault="00246344" w:rsidP="00B50748">
      <w:r>
        <w:separator/>
      </w:r>
    </w:p>
  </w:footnote>
  <w:footnote w:type="continuationSeparator" w:id="0">
    <w:p w14:paraId="25FC1EA5" w14:textId="77777777" w:rsidR="00246344" w:rsidRDefault="00246344" w:rsidP="00B5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60454"/>
    <w:multiLevelType w:val="hybridMultilevel"/>
    <w:tmpl w:val="09A69702"/>
    <w:lvl w:ilvl="0" w:tplc="966C543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A02E2"/>
    <w:multiLevelType w:val="hybridMultilevel"/>
    <w:tmpl w:val="4000A522"/>
    <w:lvl w:ilvl="0" w:tplc="D9EAA9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6493"/>
    <w:multiLevelType w:val="hybridMultilevel"/>
    <w:tmpl w:val="561CF342"/>
    <w:lvl w:ilvl="0" w:tplc="BB2ABD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A4537"/>
    <w:multiLevelType w:val="multilevel"/>
    <w:tmpl w:val="B00A029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Arial Narrow" w:eastAsia="Arial Narrow" w:hAnsi="Arial Narrow"/>
        <w:b/>
        <w:strike w:val="0"/>
        <w:color w:val="000000"/>
        <w:spacing w:val="-3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967D7E"/>
    <w:multiLevelType w:val="multilevel"/>
    <w:tmpl w:val="C7E2D91E"/>
    <w:lvl w:ilvl="0">
      <w:start w:val="1"/>
      <w:numFmt w:val="decimal"/>
      <w:lvlText w:val="%1."/>
      <w:lvlJc w:val="left"/>
      <w:pPr>
        <w:tabs>
          <w:tab w:val="left" w:pos="-576"/>
        </w:tabs>
        <w:ind w:left="0"/>
      </w:pPr>
      <w:rPr>
        <w:b/>
        <w:strike w:val="0"/>
        <w:color w:val="000000"/>
        <w:spacing w:val="-41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9E511A"/>
    <w:multiLevelType w:val="multilevel"/>
    <w:tmpl w:val="3D400E3E"/>
    <w:lvl w:ilvl="0">
      <w:start w:val="12"/>
      <w:numFmt w:val="decimal"/>
      <w:lvlText w:val="%1."/>
      <w:lvlJc w:val="left"/>
      <w:pPr>
        <w:tabs>
          <w:tab w:val="left" w:pos="144"/>
        </w:tabs>
        <w:ind w:left="720"/>
      </w:pPr>
      <w:rPr>
        <w:rFonts w:ascii="Arial Narrow" w:eastAsia="Arial Narrow" w:hAnsi="Arial Narrow"/>
        <w:b/>
        <w:strike w:val="0"/>
        <w:color w:val="000000"/>
        <w:spacing w:val="-13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FB00BC"/>
    <w:multiLevelType w:val="multilevel"/>
    <w:tmpl w:val="9AAC5DD0"/>
    <w:lvl w:ilvl="0">
      <w:start w:val="1"/>
      <w:numFmt w:val="lowerLetter"/>
      <w:lvlText w:val="(%1)"/>
      <w:lvlJc w:val="left"/>
      <w:pPr>
        <w:tabs>
          <w:tab w:val="left" w:pos="144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1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8332D3"/>
    <w:multiLevelType w:val="hybridMultilevel"/>
    <w:tmpl w:val="F342B6AC"/>
    <w:lvl w:ilvl="0" w:tplc="84E60BD2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A94ADA"/>
    <w:multiLevelType w:val="hybridMultilevel"/>
    <w:tmpl w:val="9E5E2340"/>
    <w:lvl w:ilvl="0" w:tplc="0358B8A2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273C7"/>
    <w:multiLevelType w:val="hybridMultilevel"/>
    <w:tmpl w:val="BB484A8A"/>
    <w:lvl w:ilvl="0" w:tplc="F15636A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9EAA9D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EB0722"/>
    <w:multiLevelType w:val="hybridMultilevel"/>
    <w:tmpl w:val="81D690B8"/>
    <w:lvl w:ilvl="0" w:tplc="F15636A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80019"/>
    <w:multiLevelType w:val="hybridMultilevel"/>
    <w:tmpl w:val="EDA09D46"/>
    <w:lvl w:ilvl="0" w:tplc="D9EAA9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0F"/>
    <w:rsid w:val="00004B14"/>
    <w:rsid w:val="00005652"/>
    <w:rsid w:val="000129CF"/>
    <w:rsid w:val="00015A4B"/>
    <w:rsid w:val="00043121"/>
    <w:rsid w:val="000437A3"/>
    <w:rsid w:val="000852C7"/>
    <w:rsid w:val="000C23A7"/>
    <w:rsid w:val="000D6297"/>
    <w:rsid w:val="000E4EF8"/>
    <w:rsid w:val="000F1341"/>
    <w:rsid w:val="00107989"/>
    <w:rsid w:val="00112A8D"/>
    <w:rsid w:val="00130310"/>
    <w:rsid w:val="00172526"/>
    <w:rsid w:val="001E674B"/>
    <w:rsid w:val="00200EB8"/>
    <w:rsid w:val="0022709B"/>
    <w:rsid w:val="002331BF"/>
    <w:rsid w:val="00246344"/>
    <w:rsid w:val="002532A2"/>
    <w:rsid w:val="00253A96"/>
    <w:rsid w:val="0026290F"/>
    <w:rsid w:val="00263E90"/>
    <w:rsid w:val="00266DDC"/>
    <w:rsid w:val="00267F39"/>
    <w:rsid w:val="0028770B"/>
    <w:rsid w:val="002B705A"/>
    <w:rsid w:val="002C4BC6"/>
    <w:rsid w:val="00320204"/>
    <w:rsid w:val="00326B10"/>
    <w:rsid w:val="00350CF9"/>
    <w:rsid w:val="00365863"/>
    <w:rsid w:val="00381F46"/>
    <w:rsid w:val="003A23CF"/>
    <w:rsid w:val="003B0003"/>
    <w:rsid w:val="003E6615"/>
    <w:rsid w:val="003F2861"/>
    <w:rsid w:val="00404101"/>
    <w:rsid w:val="00406B4F"/>
    <w:rsid w:val="0042663F"/>
    <w:rsid w:val="00440941"/>
    <w:rsid w:val="00492A1E"/>
    <w:rsid w:val="004C247B"/>
    <w:rsid w:val="004D0B81"/>
    <w:rsid w:val="004D2C03"/>
    <w:rsid w:val="004E6EA6"/>
    <w:rsid w:val="00504C68"/>
    <w:rsid w:val="00511BF6"/>
    <w:rsid w:val="0053269A"/>
    <w:rsid w:val="005704A6"/>
    <w:rsid w:val="005B20B6"/>
    <w:rsid w:val="005B2C27"/>
    <w:rsid w:val="005B7F9A"/>
    <w:rsid w:val="005D3E22"/>
    <w:rsid w:val="005E19DD"/>
    <w:rsid w:val="00602BA3"/>
    <w:rsid w:val="00611CF1"/>
    <w:rsid w:val="006130BD"/>
    <w:rsid w:val="00626A41"/>
    <w:rsid w:val="00641C07"/>
    <w:rsid w:val="0064759B"/>
    <w:rsid w:val="0065447A"/>
    <w:rsid w:val="0066040F"/>
    <w:rsid w:val="00663556"/>
    <w:rsid w:val="006A03D3"/>
    <w:rsid w:val="006B73EE"/>
    <w:rsid w:val="006E1DF3"/>
    <w:rsid w:val="006F4712"/>
    <w:rsid w:val="007120B6"/>
    <w:rsid w:val="0072433D"/>
    <w:rsid w:val="007274C5"/>
    <w:rsid w:val="00727B3C"/>
    <w:rsid w:val="007320F1"/>
    <w:rsid w:val="007431A3"/>
    <w:rsid w:val="00762A99"/>
    <w:rsid w:val="007820CD"/>
    <w:rsid w:val="007A58B6"/>
    <w:rsid w:val="007B00F1"/>
    <w:rsid w:val="007B0ECE"/>
    <w:rsid w:val="007E0E3B"/>
    <w:rsid w:val="007E156C"/>
    <w:rsid w:val="007E2C88"/>
    <w:rsid w:val="007E52C9"/>
    <w:rsid w:val="007F2CEE"/>
    <w:rsid w:val="0080195B"/>
    <w:rsid w:val="00836E07"/>
    <w:rsid w:val="00852119"/>
    <w:rsid w:val="008741E7"/>
    <w:rsid w:val="008A2D05"/>
    <w:rsid w:val="008B628E"/>
    <w:rsid w:val="008C04D7"/>
    <w:rsid w:val="008E150A"/>
    <w:rsid w:val="008F12B1"/>
    <w:rsid w:val="009011C7"/>
    <w:rsid w:val="00922B0A"/>
    <w:rsid w:val="00941E50"/>
    <w:rsid w:val="0094219C"/>
    <w:rsid w:val="00956D53"/>
    <w:rsid w:val="009665C0"/>
    <w:rsid w:val="009C0D00"/>
    <w:rsid w:val="009E13CF"/>
    <w:rsid w:val="009F5931"/>
    <w:rsid w:val="00A00EB8"/>
    <w:rsid w:val="00A13CDC"/>
    <w:rsid w:val="00A55657"/>
    <w:rsid w:val="00A6099B"/>
    <w:rsid w:val="00A64C1B"/>
    <w:rsid w:val="00AE64EB"/>
    <w:rsid w:val="00AE7ACC"/>
    <w:rsid w:val="00B01000"/>
    <w:rsid w:val="00B075AA"/>
    <w:rsid w:val="00B142DD"/>
    <w:rsid w:val="00B15F20"/>
    <w:rsid w:val="00B37301"/>
    <w:rsid w:val="00B50748"/>
    <w:rsid w:val="00B5754F"/>
    <w:rsid w:val="00B60102"/>
    <w:rsid w:val="00B67377"/>
    <w:rsid w:val="00BA413F"/>
    <w:rsid w:val="00BA77D8"/>
    <w:rsid w:val="00BD0A05"/>
    <w:rsid w:val="00BD4F2C"/>
    <w:rsid w:val="00BE0CD9"/>
    <w:rsid w:val="00C61823"/>
    <w:rsid w:val="00C702CD"/>
    <w:rsid w:val="00C7255B"/>
    <w:rsid w:val="00C744A9"/>
    <w:rsid w:val="00C81CDD"/>
    <w:rsid w:val="00CA1982"/>
    <w:rsid w:val="00CA625B"/>
    <w:rsid w:val="00CE154E"/>
    <w:rsid w:val="00CE1572"/>
    <w:rsid w:val="00CF07C6"/>
    <w:rsid w:val="00D165FC"/>
    <w:rsid w:val="00D3481F"/>
    <w:rsid w:val="00D50574"/>
    <w:rsid w:val="00D513F9"/>
    <w:rsid w:val="00DB1F0A"/>
    <w:rsid w:val="00DD067D"/>
    <w:rsid w:val="00DF7C70"/>
    <w:rsid w:val="00E0680E"/>
    <w:rsid w:val="00E221B4"/>
    <w:rsid w:val="00E25F6B"/>
    <w:rsid w:val="00E52934"/>
    <w:rsid w:val="00E8591D"/>
    <w:rsid w:val="00EA6B8B"/>
    <w:rsid w:val="00ED433A"/>
    <w:rsid w:val="00F0017A"/>
    <w:rsid w:val="00F01978"/>
    <w:rsid w:val="00F4467A"/>
    <w:rsid w:val="00F5619C"/>
    <w:rsid w:val="00F66569"/>
    <w:rsid w:val="00F70501"/>
    <w:rsid w:val="00F77582"/>
    <w:rsid w:val="00FA73D7"/>
    <w:rsid w:val="00FB2485"/>
    <w:rsid w:val="00FD5010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6A0BB5"/>
  <w15:docId w15:val="{64AAE7FE-059A-4AA1-AFEB-3F0D1A04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C70"/>
    <w:pPr>
      <w:ind w:left="720"/>
      <w:contextualSpacing/>
    </w:pPr>
  </w:style>
  <w:style w:type="table" w:styleId="TableGrid">
    <w:name w:val="Table Grid"/>
    <w:basedOn w:val="TableNormal"/>
    <w:uiPriority w:val="59"/>
    <w:rsid w:val="005B2C27"/>
    <w:pPr>
      <w:ind w:left="720" w:hanging="360"/>
      <w:jc w:val="both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7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3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0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48"/>
  </w:style>
  <w:style w:type="paragraph" w:styleId="Footer">
    <w:name w:val="footer"/>
    <w:basedOn w:val="Normal"/>
    <w:link w:val="FooterChar"/>
    <w:uiPriority w:val="99"/>
    <w:unhideWhenUsed/>
    <w:rsid w:val="00B50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48"/>
  </w:style>
  <w:style w:type="paragraph" w:styleId="Revision">
    <w:name w:val="Revision"/>
    <w:hidden/>
    <w:uiPriority w:val="99"/>
    <w:semiHidden/>
    <w:rsid w:val="00B6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Jackson</dc:creator>
  <cp:lastModifiedBy>Pollack, Nikki</cp:lastModifiedBy>
  <cp:revision>3</cp:revision>
  <cp:lastPrinted>2015-07-21T16:18:00Z</cp:lastPrinted>
  <dcterms:created xsi:type="dcterms:W3CDTF">2024-10-08T17:24:00Z</dcterms:created>
  <dcterms:modified xsi:type="dcterms:W3CDTF">2024-10-11T20:47:00Z</dcterms:modified>
</cp:coreProperties>
</file>